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C" w:rsidRPr="00974D88" w:rsidRDefault="00593483" w:rsidP="00DA6A76">
      <w:pPr>
        <w:spacing w:line="240" w:lineRule="auto"/>
        <w:rPr>
          <w:rFonts w:cs="Aharoni"/>
          <w:b/>
        </w:rPr>
      </w:pPr>
      <w:r w:rsidRPr="00974D88">
        <w:rPr>
          <w:rFonts w:cs="Aharoni"/>
          <w:b/>
        </w:rPr>
        <w:t xml:space="preserve">Procedimiento para </w:t>
      </w:r>
      <w:r w:rsidR="001A018F" w:rsidRPr="00974D88">
        <w:rPr>
          <w:rFonts w:cs="Aharoni"/>
          <w:b/>
        </w:rPr>
        <w:t xml:space="preserve">teñir </w:t>
      </w:r>
      <w:r w:rsidR="00736181" w:rsidRPr="00974D88">
        <w:rPr>
          <w:rFonts w:cs="Aharoni"/>
          <w:b/>
        </w:rPr>
        <w:t xml:space="preserve">membranas </w:t>
      </w:r>
      <w:r w:rsidR="00176AA1" w:rsidRPr="00974D88">
        <w:rPr>
          <w:rFonts w:cs="Aharoni"/>
          <w:b/>
        </w:rPr>
        <w:t>de nitrocelulosa con CPTS</w:t>
      </w:r>
      <w:r w:rsidR="00DB61C4" w:rsidRPr="00974D88">
        <w:rPr>
          <w:rFonts w:cs="Aharoni"/>
          <w:b/>
        </w:rPr>
        <w:t xml:space="preserve"> (tinci</w:t>
      </w:r>
      <w:r w:rsidR="008C37CF" w:rsidRPr="00974D88">
        <w:rPr>
          <w:rFonts w:cs="Aharoni"/>
          <w:b/>
        </w:rPr>
        <w:t>ón reversible</w:t>
      </w:r>
      <w:r w:rsidR="00DB61C4" w:rsidRPr="00974D88">
        <w:rPr>
          <w:rFonts w:cs="Aharoni"/>
          <w:b/>
        </w:rPr>
        <w:t>)</w:t>
      </w:r>
    </w:p>
    <w:p w:rsidR="008719E9" w:rsidRPr="00974D88" w:rsidRDefault="008719E9" w:rsidP="00DA6A76">
      <w:pPr>
        <w:spacing w:line="240" w:lineRule="auto"/>
        <w:rPr>
          <w:b/>
          <w:u w:val="single"/>
        </w:rPr>
      </w:pPr>
    </w:p>
    <w:p w:rsidR="00E661EC" w:rsidRPr="00974D88" w:rsidRDefault="001A018F" w:rsidP="00DA6A76">
      <w:pPr>
        <w:spacing w:line="240" w:lineRule="auto"/>
        <w:rPr>
          <w:b/>
          <w:u w:val="single"/>
        </w:rPr>
      </w:pPr>
      <w:r w:rsidRPr="00974D88">
        <w:rPr>
          <w:b/>
          <w:u w:val="single"/>
        </w:rPr>
        <w:t>Soluciones:</w:t>
      </w:r>
    </w:p>
    <w:p w:rsidR="00E661EC" w:rsidRPr="00974D88" w:rsidRDefault="00176AA1" w:rsidP="00DA6A76">
      <w:pPr>
        <w:spacing w:line="240" w:lineRule="auto"/>
        <w:rPr>
          <w:b/>
        </w:rPr>
      </w:pPr>
      <w:proofErr w:type="spellStart"/>
      <w:r w:rsidRPr="00974D88">
        <w:rPr>
          <w:b/>
        </w:rPr>
        <w:t>Sensitizer</w:t>
      </w:r>
      <w:proofErr w:type="spellEnd"/>
    </w:p>
    <w:p w:rsidR="00C25866" w:rsidRPr="00974D88" w:rsidRDefault="00C25866" w:rsidP="00C25866">
      <w:pPr>
        <w:pStyle w:val="ListParagraph"/>
        <w:numPr>
          <w:ilvl w:val="0"/>
          <w:numId w:val="7"/>
        </w:numPr>
        <w:spacing w:line="240" w:lineRule="auto"/>
      </w:pPr>
      <w:r w:rsidRPr="00974D88">
        <w:t xml:space="preserve">Para preparar </w:t>
      </w:r>
      <w:r w:rsidR="00176AA1" w:rsidRPr="00974D88">
        <w:t xml:space="preserve">1 </w:t>
      </w:r>
      <w:r w:rsidRPr="00974D88">
        <w:t>L:</w:t>
      </w:r>
    </w:p>
    <w:p w:rsidR="00C25866" w:rsidRPr="00974D88" w:rsidRDefault="00176AA1" w:rsidP="00C25866">
      <w:pPr>
        <w:pStyle w:val="ListParagraph"/>
        <w:numPr>
          <w:ilvl w:val="1"/>
          <w:numId w:val="7"/>
        </w:numPr>
        <w:spacing w:line="240" w:lineRule="auto"/>
      </w:pPr>
      <w:r w:rsidRPr="00974D88">
        <w:t xml:space="preserve">Agregar 370 </w:t>
      </w:r>
      <w:r w:rsidRPr="00974D88">
        <w:rPr>
          <w:rFonts w:cstheme="minorHAnsi"/>
        </w:rPr>
        <w:t>µ</w:t>
      </w:r>
      <w:r w:rsidRPr="00974D88">
        <w:t xml:space="preserve">L de </w:t>
      </w:r>
      <w:proofErr w:type="spellStart"/>
      <w:r w:rsidRPr="00974D88">
        <w:t>HCl</w:t>
      </w:r>
      <w:proofErr w:type="spellEnd"/>
      <w:r w:rsidRPr="00974D88">
        <w:t xml:space="preserve"> concentrado a 1000 </w:t>
      </w:r>
      <w:proofErr w:type="spellStart"/>
      <w:r w:rsidRPr="00974D88">
        <w:t>mL</w:t>
      </w:r>
      <w:proofErr w:type="spellEnd"/>
      <w:r w:rsidRPr="00974D88">
        <w:t xml:space="preserve"> de</w:t>
      </w:r>
      <w:r w:rsidR="00C25866" w:rsidRPr="00974D88">
        <w:t xml:space="preserve"> agua MQ o </w:t>
      </w:r>
      <w:proofErr w:type="spellStart"/>
      <w:r w:rsidR="00C25866" w:rsidRPr="00974D88">
        <w:t>desionizada</w:t>
      </w:r>
      <w:proofErr w:type="spellEnd"/>
      <w:r w:rsidR="00C25866" w:rsidRPr="00974D88">
        <w:t>.</w:t>
      </w:r>
    </w:p>
    <w:p w:rsidR="008719E9" w:rsidRPr="00974D88" w:rsidRDefault="008719E9" w:rsidP="00C25866">
      <w:pPr>
        <w:pStyle w:val="ListParagraph"/>
        <w:numPr>
          <w:ilvl w:val="1"/>
          <w:numId w:val="7"/>
        </w:numPr>
        <w:spacing w:line="240" w:lineRule="auto"/>
      </w:pPr>
      <w:r w:rsidRPr="00974D88">
        <w:t>Guardar a temperatura ambiente.</w:t>
      </w:r>
    </w:p>
    <w:p w:rsidR="001A018F" w:rsidRPr="00974D88" w:rsidRDefault="00176AA1" w:rsidP="00DA6A76">
      <w:pPr>
        <w:spacing w:line="240" w:lineRule="auto"/>
        <w:rPr>
          <w:b/>
        </w:rPr>
      </w:pPr>
      <w:proofErr w:type="spellStart"/>
      <w:r w:rsidRPr="00974D88">
        <w:rPr>
          <w:b/>
        </w:rPr>
        <w:t>Stain</w:t>
      </w:r>
      <w:proofErr w:type="spellEnd"/>
    </w:p>
    <w:p w:rsidR="00DB61C4" w:rsidRPr="00974D88" w:rsidRDefault="00DB61C4" w:rsidP="00DB61C4">
      <w:pPr>
        <w:pStyle w:val="ListParagraph"/>
        <w:numPr>
          <w:ilvl w:val="0"/>
          <w:numId w:val="7"/>
        </w:numPr>
        <w:spacing w:line="240" w:lineRule="auto"/>
      </w:pPr>
      <w:r w:rsidRPr="00974D88">
        <w:t xml:space="preserve">Para preparar 100 </w:t>
      </w:r>
      <w:proofErr w:type="spellStart"/>
      <w:r w:rsidRPr="00974D88">
        <w:t>mL</w:t>
      </w:r>
      <w:proofErr w:type="spellEnd"/>
      <w:r w:rsidRPr="00974D88">
        <w:t>:</w:t>
      </w:r>
    </w:p>
    <w:p w:rsidR="00DB61C4" w:rsidRPr="00974D88" w:rsidRDefault="00DB61C4" w:rsidP="00DB61C4">
      <w:pPr>
        <w:pStyle w:val="ListParagraph"/>
        <w:numPr>
          <w:ilvl w:val="1"/>
          <w:numId w:val="7"/>
        </w:numPr>
        <w:spacing w:line="240" w:lineRule="auto"/>
      </w:pPr>
      <w:r w:rsidRPr="00974D88">
        <w:t xml:space="preserve">Pesar </w:t>
      </w:r>
      <w:r w:rsidR="00176AA1" w:rsidRPr="00974D88">
        <w:t>50</w:t>
      </w:r>
      <w:r w:rsidRPr="00974D88">
        <w:t xml:space="preserve"> </w:t>
      </w:r>
      <w:r w:rsidR="00176AA1" w:rsidRPr="00974D88">
        <w:t>m</w:t>
      </w:r>
      <w:r w:rsidRPr="00974D88">
        <w:t xml:space="preserve">g de </w:t>
      </w:r>
      <w:r w:rsidR="00176AA1" w:rsidRPr="00974D88">
        <w:t>CPTS (</w:t>
      </w:r>
      <w:proofErr w:type="spellStart"/>
      <w:r w:rsidR="00176AA1" w:rsidRPr="00974D88">
        <w:t>Copper</w:t>
      </w:r>
      <w:proofErr w:type="spellEnd"/>
      <w:r w:rsidR="00176AA1" w:rsidRPr="00974D88">
        <w:t>(II) </w:t>
      </w:r>
      <w:proofErr w:type="spellStart"/>
      <w:r w:rsidR="00176AA1" w:rsidRPr="00974D88">
        <w:t>phthalocyanine</w:t>
      </w:r>
      <w:proofErr w:type="spellEnd"/>
      <w:r w:rsidR="00176AA1" w:rsidRPr="00974D88">
        <w:t xml:space="preserve"> 3,4’,4’’,4’’’-tetrasulphonic </w:t>
      </w:r>
      <w:proofErr w:type="spellStart"/>
      <w:r w:rsidR="00176AA1" w:rsidRPr="00974D88">
        <w:t>acid</w:t>
      </w:r>
      <w:proofErr w:type="spellEnd"/>
      <w:r w:rsidR="00176AA1" w:rsidRPr="00974D88">
        <w:t xml:space="preserve">, </w:t>
      </w:r>
      <w:proofErr w:type="spellStart"/>
      <w:r w:rsidR="00176AA1" w:rsidRPr="00974D88">
        <w:t>tetrasodium</w:t>
      </w:r>
      <w:proofErr w:type="spellEnd"/>
      <w:r w:rsidR="00176AA1" w:rsidRPr="00974D88">
        <w:t xml:space="preserve"> </w:t>
      </w:r>
      <w:proofErr w:type="spellStart"/>
      <w:r w:rsidR="00176AA1" w:rsidRPr="00974D88">
        <w:t>salt</w:t>
      </w:r>
      <w:proofErr w:type="spellEnd"/>
      <w:r w:rsidR="00176AA1" w:rsidRPr="00974D88">
        <w:t>, ALDRICH Cat. 245356)</w:t>
      </w:r>
      <w:r w:rsidR="00176AA1" w:rsidRPr="00974D88">
        <w:rPr>
          <w:rFonts w:cs="Arial"/>
          <w:color w:val="222222"/>
          <w:shd w:val="clear" w:color="auto" w:fill="FFFFFF"/>
        </w:rPr>
        <w:t xml:space="preserve"> </w:t>
      </w:r>
      <w:r w:rsidRPr="00974D88">
        <w:t xml:space="preserve">y aforar a 100 </w:t>
      </w:r>
      <w:proofErr w:type="spellStart"/>
      <w:r w:rsidRPr="00974D88">
        <w:t>mL</w:t>
      </w:r>
      <w:proofErr w:type="spellEnd"/>
      <w:r w:rsidRPr="00974D88">
        <w:t xml:space="preserve"> con </w:t>
      </w:r>
      <w:r w:rsidR="007962E6" w:rsidRPr="00974D88">
        <w:t xml:space="preserve">solución </w:t>
      </w:r>
      <w:proofErr w:type="spellStart"/>
      <w:r w:rsidR="007962E6" w:rsidRPr="00974D88">
        <w:t>sensitizer</w:t>
      </w:r>
      <w:proofErr w:type="spellEnd"/>
      <w:r w:rsidRPr="00974D88">
        <w:t>.</w:t>
      </w:r>
    </w:p>
    <w:p w:rsidR="008719E9" w:rsidRPr="00974D88" w:rsidRDefault="008719E9" w:rsidP="00DB61C4">
      <w:pPr>
        <w:pStyle w:val="ListParagraph"/>
        <w:numPr>
          <w:ilvl w:val="1"/>
          <w:numId w:val="7"/>
        </w:numPr>
        <w:spacing w:line="240" w:lineRule="auto"/>
      </w:pPr>
      <w:r w:rsidRPr="00974D88">
        <w:t>Guardar a 4 °C.</w:t>
      </w:r>
    </w:p>
    <w:p w:rsidR="001A018F" w:rsidRPr="00974D88" w:rsidRDefault="00176AA1" w:rsidP="00DA6A76">
      <w:pPr>
        <w:spacing w:line="240" w:lineRule="auto"/>
        <w:rPr>
          <w:b/>
        </w:rPr>
      </w:pPr>
      <w:proofErr w:type="spellStart"/>
      <w:r w:rsidRPr="00974D88">
        <w:rPr>
          <w:b/>
        </w:rPr>
        <w:t>Eraser</w:t>
      </w:r>
      <w:proofErr w:type="spellEnd"/>
      <w:r w:rsidRPr="00974D88">
        <w:rPr>
          <w:b/>
        </w:rPr>
        <w:t xml:space="preserve"> (pH 12.5)</w:t>
      </w:r>
    </w:p>
    <w:p w:rsidR="00DB61C4" w:rsidRPr="00974D88" w:rsidRDefault="00176AA1" w:rsidP="00176AA1">
      <w:pPr>
        <w:pStyle w:val="ListParagraph"/>
        <w:numPr>
          <w:ilvl w:val="0"/>
          <w:numId w:val="4"/>
        </w:numPr>
        <w:spacing w:line="240" w:lineRule="auto"/>
        <w:ind w:left="1134"/>
        <w:rPr>
          <w:i/>
          <w:u w:val="single"/>
        </w:rPr>
      </w:pPr>
      <w:r w:rsidRPr="00974D88">
        <w:t>Preparar las siguientes soluciones:</w:t>
      </w:r>
    </w:p>
    <w:p w:rsidR="00176AA1" w:rsidRPr="00974D88" w:rsidRDefault="00176AA1" w:rsidP="00176AA1">
      <w:pPr>
        <w:pStyle w:val="ListParagraph"/>
        <w:numPr>
          <w:ilvl w:val="1"/>
          <w:numId w:val="4"/>
        </w:numPr>
        <w:spacing w:line="240" w:lineRule="auto"/>
        <w:rPr>
          <w:i/>
          <w:u w:val="single"/>
        </w:rPr>
      </w:pPr>
      <w:proofErr w:type="spellStart"/>
      <w:r w:rsidRPr="00974D88">
        <w:t>KCl</w:t>
      </w:r>
      <w:proofErr w:type="spellEnd"/>
      <w:r w:rsidRPr="00974D88">
        <w:t xml:space="preserve"> 0.2 M</w:t>
      </w:r>
    </w:p>
    <w:p w:rsidR="00176AA1" w:rsidRPr="00974D88" w:rsidRDefault="00176AA1" w:rsidP="00176AA1">
      <w:pPr>
        <w:pStyle w:val="ListParagraph"/>
        <w:numPr>
          <w:ilvl w:val="1"/>
          <w:numId w:val="4"/>
        </w:numPr>
        <w:spacing w:line="240" w:lineRule="auto"/>
        <w:rPr>
          <w:i/>
          <w:u w:val="single"/>
        </w:rPr>
      </w:pPr>
      <w:proofErr w:type="spellStart"/>
      <w:r w:rsidRPr="00974D88">
        <w:t>NaOH</w:t>
      </w:r>
      <w:proofErr w:type="spellEnd"/>
      <w:r w:rsidRPr="00974D88">
        <w:t xml:space="preserve"> 0.2 M</w:t>
      </w:r>
    </w:p>
    <w:p w:rsidR="00176AA1" w:rsidRPr="00974D88" w:rsidRDefault="00176AA1" w:rsidP="00176AA1">
      <w:pPr>
        <w:pStyle w:val="ListParagraph"/>
        <w:numPr>
          <w:ilvl w:val="0"/>
          <w:numId w:val="8"/>
        </w:numPr>
        <w:spacing w:line="240" w:lineRule="auto"/>
        <w:rPr>
          <w:i/>
          <w:u w:val="single"/>
        </w:rPr>
      </w:pPr>
      <w:r w:rsidRPr="00974D88">
        <w:t xml:space="preserve">Para preparar la solución </w:t>
      </w:r>
      <w:proofErr w:type="spellStart"/>
      <w:r w:rsidRPr="00974D88">
        <w:rPr>
          <w:b/>
        </w:rPr>
        <w:t>Eraser</w:t>
      </w:r>
      <w:proofErr w:type="spellEnd"/>
      <w:r w:rsidRPr="00974D88">
        <w:t xml:space="preserve">, mezclar 50 </w:t>
      </w:r>
      <w:proofErr w:type="spellStart"/>
      <w:r w:rsidRPr="00974D88">
        <w:t>mL</w:t>
      </w:r>
      <w:proofErr w:type="spellEnd"/>
      <w:r w:rsidRPr="00974D88">
        <w:t xml:space="preserve"> de </w:t>
      </w:r>
      <w:proofErr w:type="spellStart"/>
      <w:r w:rsidRPr="00974D88">
        <w:t>KCl</w:t>
      </w:r>
      <w:proofErr w:type="spellEnd"/>
      <w:r w:rsidRPr="00974D88">
        <w:t xml:space="preserve"> 0.2 M y 40.8 </w:t>
      </w:r>
      <w:proofErr w:type="spellStart"/>
      <w:r w:rsidRPr="00974D88">
        <w:t>mL</w:t>
      </w:r>
      <w:proofErr w:type="spellEnd"/>
      <w:r w:rsidRPr="00974D88">
        <w:t xml:space="preserve"> de </w:t>
      </w:r>
      <w:proofErr w:type="spellStart"/>
      <w:r w:rsidRPr="00974D88">
        <w:t>NaOH</w:t>
      </w:r>
      <w:proofErr w:type="spellEnd"/>
      <w:r w:rsidRPr="00974D88">
        <w:t xml:space="preserve"> 0.2 M.</w:t>
      </w:r>
    </w:p>
    <w:p w:rsidR="008719E9" w:rsidRPr="00974D88" w:rsidRDefault="008719E9" w:rsidP="008719E9">
      <w:pPr>
        <w:pStyle w:val="ListParagraph"/>
        <w:numPr>
          <w:ilvl w:val="1"/>
          <w:numId w:val="8"/>
        </w:numPr>
        <w:spacing w:line="240" w:lineRule="auto"/>
      </w:pPr>
      <w:r w:rsidRPr="00974D88">
        <w:t>Guardar a temperatura ambiente.</w:t>
      </w:r>
    </w:p>
    <w:p w:rsidR="00E661EC" w:rsidRPr="00974D88" w:rsidRDefault="00E661EC" w:rsidP="00DA6A76">
      <w:pPr>
        <w:spacing w:line="240" w:lineRule="auto"/>
      </w:pPr>
    </w:p>
    <w:p w:rsidR="00E661EC" w:rsidRPr="00974D88" w:rsidRDefault="00593483" w:rsidP="00DA6A76">
      <w:pPr>
        <w:pStyle w:val="ListParagraph"/>
        <w:tabs>
          <w:tab w:val="left" w:pos="1560"/>
        </w:tabs>
        <w:spacing w:line="240" w:lineRule="auto"/>
        <w:ind w:left="0"/>
        <w:rPr>
          <w:b/>
          <w:u w:val="single"/>
        </w:rPr>
      </w:pPr>
      <w:r w:rsidRPr="00974D88">
        <w:rPr>
          <w:b/>
          <w:u w:val="single"/>
        </w:rPr>
        <w:t xml:space="preserve">Procedimiento de </w:t>
      </w:r>
      <w:r w:rsidR="00DB61C4" w:rsidRPr="00974D88">
        <w:rPr>
          <w:b/>
          <w:u w:val="single"/>
        </w:rPr>
        <w:t xml:space="preserve">tinción con </w:t>
      </w:r>
      <w:r w:rsidR="00176AA1" w:rsidRPr="00974D88">
        <w:rPr>
          <w:b/>
          <w:u w:val="single"/>
        </w:rPr>
        <w:t>CPTS (para verificar transferencia de proteínas)</w:t>
      </w:r>
      <w:r w:rsidR="008719E9" w:rsidRPr="00974D88">
        <w:rPr>
          <w:b/>
          <w:u w:val="single"/>
        </w:rPr>
        <w:t>. Procedimiento para membranas de 8x10 cm.</w:t>
      </w:r>
    </w:p>
    <w:p w:rsidR="00DB61C4" w:rsidRPr="00974D88" w:rsidRDefault="00DB61C4" w:rsidP="00DB61C4">
      <w:pPr>
        <w:pStyle w:val="ListParagraph"/>
        <w:tabs>
          <w:tab w:val="left" w:pos="1560"/>
        </w:tabs>
        <w:spacing w:line="240" w:lineRule="auto"/>
        <w:ind w:left="1080"/>
      </w:pPr>
    </w:p>
    <w:p w:rsidR="00593483" w:rsidRPr="00974D88" w:rsidRDefault="00593483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 xml:space="preserve">En un </w:t>
      </w:r>
      <w:r w:rsidR="00DB61C4" w:rsidRPr="00974D88">
        <w:t xml:space="preserve">recipiente de plástico </w:t>
      </w:r>
      <w:r w:rsidR="00176AA1" w:rsidRPr="00974D88">
        <w:t>limpio del tamaño de la membrana de nitrocelulosa</w:t>
      </w:r>
      <w:r w:rsidR="00DB61C4" w:rsidRPr="00974D88">
        <w:t xml:space="preserve">, colocar </w:t>
      </w:r>
      <w:r w:rsidR="00176AA1" w:rsidRPr="00974D88">
        <w:t xml:space="preserve">la membrana a teñir y agregar 50 </w:t>
      </w:r>
      <w:proofErr w:type="spellStart"/>
      <w:r w:rsidR="00176AA1" w:rsidRPr="00974D88">
        <w:t>mL</w:t>
      </w:r>
      <w:proofErr w:type="spellEnd"/>
      <w:r w:rsidR="00176AA1" w:rsidRPr="00974D88">
        <w:t xml:space="preserve"> de la solución </w:t>
      </w:r>
      <w:proofErr w:type="spellStart"/>
      <w:r w:rsidR="00176AA1" w:rsidRPr="00974D88">
        <w:t>Sensitizer</w:t>
      </w:r>
      <w:proofErr w:type="spellEnd"/>
      <w:r w:rsidR="00176AA1" w:rsidRPr="00974D88">
        <w:t>. Incubar en agitación durante 2-5 min</w:t>
      </w:r>
      <w:r w:rsidR="00DB61C4" w:rsidRPr="00974D88">
        <w:t>.</w:t>
      </w:r>
    </w:p>
    <w:p w:rsidR="00593483" w:rsidRPr="00974D88" w:rsidRDefault="00DB61C4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 xml:space="preserve">Tirar la solución </w:t>
      </w:r>
      <w:proofErr w:type="spellStart"/>
      <w:r w:rsidR="008719E9" w:rsidRPr="00974D88">
        <w:t>sensitizer</w:t>
      </w:r>
      <w:proofErr w:type="spellEnd"/>
      <w:r w:rsidR="008719E9" w:rsidRPr="00974D88">
        <w:t xml:space="preserve"> y agregar 30 </w:t>
      </w:r>
      <w:proofErr w:type="spellStart"/>
      <w:r w:rsidR="008719E9" w:rsidRPr="00974D88">
        <w:t>mL</w:t>
      </w:r>
      <w:proofErr w:type="spellEnd"/>
      <w:r w:rsidR="008719E9" w:rsidRPr="00974D88">
        <w:t xml:space="preserve"> de la solución </w:t>
      </w:r>
      <w:proofErr w:type="spellStart"/>
      <w:r w:rsidR="008719E9" w:rsidRPr="00974D88">
        <w:t>stain</w:t>
      </w:r>
      <w:proofErr w:type="spellEnd"/>
      <w:r w:rsidR="008719E9" w:rsidRPr="00974D88">
        <w:t xml:space="preserve"> e incubar 5 min en agitación.</w:t>
      </w:r>
    </w:p>
    <w:p w:rsidR="00DA6A76" w:rsidRPr="00974D88" w:rsidRDefault="00DB61C4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 xml:space="preserve">Cuando las proteínas se hayan revelado, </w:t>
      </w:r>
      <w:r w:rsidR="008719E9" w:rsidRPr="00974D88">
        <w:t xml:space="preserve">recuperar la solución </w:t>
      </w:r>
      <w:proofErr w:type="spellStart"/>
      <w:r w:rsidR="008719E9" w:rsidRPr="00974D88">
        <w:t>stain</w:t>
      </w:r>
      <w:proofErr w:type="spellEnd"/>
      <w:r w:rsidR="008719E9" w:rsidRPr="00974D88">
        <w:t xml:space="preserve"> en un recipiente diferente y lavar la membrana 3 veces con 30 </w:t>
      </w:r>
      <w:proofErr w:type="spellStart"/>
      <w:r w:rsidR="008719E9" w:rsidRPr="00974D88">
        <w:t>mL</w:t>
      </w:r>
      <w:proofErr w:type="spellEnd"/>
      <w:r w:rsidR="008719E9" w:rsidRPr="00974D88">
        <w:t xml:space="preserve"> de la solución </w:t>
      </w:r>
      <w:proofErr w:type="spellStart"/>
      <w:r w:rsidR="008719E9" w:rsidRPr="00974D88">
        <w:t>sensitizer</w:t>
      </w:r>
      <w:proofErr w:type="spellEnd"/>
      <w:r w:rsidR="008719E9" w:rsidRPr="00974D88">
        <w:t xml:space="preserve"> para eliminar el fondo (si la después del tercer lavado la solución de lavado sigue azul, realizar lavados adicionales). Descartar la solución de cada lavado.</w:t>
      </w:r>
      <w:bookmarkStart w:id="0" w:name="_GoBack"/>
      <w:bookmarkEnd w:id="0"/>
    </w:p>
    <w:p w:rsidR="00DB61C4" w:rsidRPr="00974D88" w:rsidRDefault="008719E9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>Dejar secar la membrana sobre papel filtro. Una vez seca puede ser escaneada.</w:t>
      </w:r>
    </w:p>
    <w:p w:rsidR="00DB61C4" w:rsidRPr="00974D88" w:rsidRDefault="00DB61C4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 xml:space="preserve">Para desteñir </w:t>
      </w:r>
      <w:r w:rsidR="008719E9" w:rsidRPr="00974D88">
        <w:t xml:space="preserve">la membrana, colocarla nuevamente en el recipiente de plástico e incubar con 30 </w:t>
      </w:r>
      <w:proofErr w:type="spellStart"/>
      <w:r w:rsidR="008719E9" w:rsidRPr="00974D88">
        <w:t>mL</w:t>
      </w:r>
      <w:proofErr w:type="spellEnd"/>
      <w:r w:rsidR="008719E9" w:rsidRPr="00974D88">
        <w:t xml:space="preserve"> de solución </w:t>
      </w:r>
      <w:proofErr w:type="spellStart"/>
      <w:r w:rsidR="008719E9" w:rsidRPr="00974D88">
        <w:t>Eraser</w:t>
      </w:r>
      <w:proofErr w:type="spellEnd"/>
      <w:r w:rsidR="008719E9" w:rsidRPr="00974D88">
        <w:t xml:space="preserve"> hasta que las proteínas se hayan desteñido.</w:t>
      </w:r>
    </w:p>
    <w:p w:rsidR="00DB61C4" w:rsidRPr="00974D88" w:rsidRDefault="008719E9" w:rsidP="00974D88">
      <w:pPr>
        <w:pStyle w:val="ListParagraph"/>
        <w:numPr>
          <w:ilvl w:val="0"/>
          <w:numId w:val="5"/>
        </w:numPr>
        <w:tabs>
          <w:tab w:val="left" w:pos="1560"/>
        </w:tabs>
        <w:spacing w:line="240" w:lineRule="auto"/>
        <w:jc w:val="both"/>
      </w:pPr>
      <w:r w:rsidRPr="00974D88">
        <w:t xml:space="preserve">Si se desea hacer </w:t>
      </w:r>
      <w:r w:rsidR="00974D88">
        <w:t>W</w:t>
      </w:r>
      <w:r w:rsidRPr="00974D88">
        <w:t xml:space="preserve">estern </w:t>
      </w:r>
      <w:proofErr w:type="spellStart"/>
      <w:r w:rsidRPr="00974D88">
        <w:t>blot</w:t>
      </w:r>
      <w:proofErr w:type="spellEnd"/>
      <w:r w:rsidRPr="00974D88">
        <w:t>, una vez desteñida la membrana se puede proceder con el bloqueo de la misma.</w:t>
      </w:r>
    </w:p>
    <w:p w:rsidR="00DA6A76" w:rsidRPr="00974D88" w:rsidRDefault="00DA6A76" w:rsidP="00974D88">
      <w:pPr>
        <w:tabs>
          <w:tab w:val="left" w:pos="1560"/>
        </w:tabs>
        <w:spacing w:line="240" w:lineRule="auto"/>
        <w:jc w:val="both"/>
      </w:pPr>
      <w:r w:rsidRPr="00974D88">
        <w:t xml:space="preserve">NOTAS: </w:t>
      </w:r>
      <w:r w:rsidR="008719E9" w:rsidRPr="00974D88">
        <w:rPr>
          <w:u w:val="single"/>
        </w:rPr>
        <w:t xml:space="preserve">La solución </w:t>
      </w:r>
      <w:proofErr w:type="spellStart"/>
      <w:r w:rsidR="008719E9" w:rsidRPr="00974D88">
        <w:rPr>
          <w:u w:val="single"/>
        </w:rPr>
        <w:t>Stain</w:t>
      </w:r>
      <w:proofErr w:type="spellEnd"/>
      <w:r w:rsidR="008719E9" w:rsidRPr="00974D88">
        <w:rPr>
          <w:u w:val="single"/>
        </w:rPr>
        <w:t xml:space="preserve"> puede reusarse</w:t>
      </w:r>
      <w:r w:rsidR="008C37CF" w:rsidRPr="00974D88">
        <w:rPr>
          <w:u w:val="single"/>
        </w:rPr>
        <w:t>,</w:t>
      </w:r>
      <w:r w:rsidR="008C37CF" w:rsidRPr="00974D88">
        <w:t xml:space="preserve"> </w:t>
      </w:r>
      <w:r w:rsidR="008719E9" w:rsidRPr="00974D88">
        <w:t>sin embargo</w:t>
      </w:r>
      <w:r w:rsidR="00974D88">
        <w:t>,</w:t>
      </w:r>
      <w:r w:rsidR="008719E9" w:rsidRPr="00974D88">
        <w:t xml:space="preserve"> hay que cuidar que la solución usada se conserve a 4°C para evitar la formación de hongos. </w:t>
      </w:r>
      <w:r w:rsidR="008719E9" w:rsidRPr="00974D88">
        <w:rPr>
          <w:u w:val="single"/>
        </w:rPr>
        <w:t xml:space="preserve">Si se observan partículas suspendidas en la solución </w:t>
      </w:r>
      <w:proofErr w:type="spellStart"/>
      <w:r w:rsidR="008719E9" w:rsidRPr="00974D88">
        <w:rPr>
          <w:u w:val="single"/>
        </w:rPr>
        <w:t>Stain</w:t>
      </w:r>
      <w:proofErr w:type="spellEnd"/>
      <w:r w:rsidR="008719E9" w:rsidRPr="00974D88">
        <w:rPr>
          <w:u w:val="single"/>
        </w:rPr>
        <w:t xml:space="preserve"> usada, descartar la solución</w:t>
      </w:r>
      <w:r w:rsidR="008719E9" w:rsidRPr="00974D88">
        <w:t xml:space="preserve"> ya que esas partículas se adhieren a la membrana y afectan el resultado de la tinción.</w:t>
      </w:r>
    </w:p>
    <w:sectPr w:rsidR="00DA6A76" w:rsidRPr="00974D88" w:rsidSect="008719E9">
      <w:pgSz w:w="12240" w:h="15840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423"/>
    <w:multiLevelType w:val="hybridMultilevel"/>
    <w:tmpl w:val="CD6432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3A49"/>
    <w:multiLevelType w:val="hybridMultilevel"/>
    <w:tmpl w:val="8F5434D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143D"/>
    <w:multiLevelType w:val="hybridMultilevel"/>
    <w:tmpl w:val="6ABC1A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D18"/>
    <w:multiLevelType w:val="hybridMultilevel"/>
    <w:tmpl w:val="F5D0C9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F7467"/>
    <w:multiLevelType w:val="hybridMultilevel"/>
    <w:tmpl w:val="CD5CE5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D6B35"/>
    <w:multiLevelType w:val="hybridMultilevel"/>
    <w:tmpl w:val="BD5287CC"/>
    <w:lvl w:ilvl="0" w:tplc="5A18AFD2">
      <w:start w:val="19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B50EC"/>
    <w:multiLevelType w:val="hybridMultilevel"/>
    <w:tmpl w:val="F8AC78A2"/>
    <w:lvl w:ilvl="0" w:tplc="868E6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F71D1"/>
    <w:multiLevelType w:val="hybridMultilevel"/>
    <w:tmpl w:val="7F6485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61EC"/>
    <w:rsid w:val="000C653E"/>
    <w:rsid w:val="001434ED"/>
    <w:rsid w:val="00171BC5"/>
    <w:rsid w:val="00176AA1"/>
    <w:rsid w:val="001A018F"/>
    <w:rsid w:val="004D2F1C"/>
    <w:rsid w:val="00593483"/>
    <w:rsid w:val="006816F2"/>
    <w:rsid w:val="00736181"/>
    <w:rsid w:val="007962E6"/>
    <w:rsid w:val="008719E9"/>
    <w:rsid w:val="008C37CF"/>
    <w:rsid w:val="00974D88"/>
    <w:rsid w:val="00995206"/>
    <w:rsid w:val="00BE197C"/>
    <w:rsid w:val="00C25866"/>
    <w:rsid w:val="00DA6A76"/>
    <w:rsid w:val="00DB61C4"/>
    <w:rsid w:val="00E6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A5C7"/>
  <w15:docId w15:val="{F576FED4-B00E-4102-A6EE-02FE51A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E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76AA1"/>
    <w:rPr>
      <w:i/>
      <w:iCs/>
    </w:rPr>
  </w:style>
  <w:style w:type="character" w:customStyle="1" w:styleId="apple-converted-space">
    <w:name w:val="apple-converted-space"/>
    <w:basedOn w:val="DefaultParagraphFont"/>
    <w:rsid w:val="0017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Jose Crispin</cp:lastModifiedBy>
  <cp:revision>6</cp:revision>
  <cp:lastPrinted>2012-11-13T21:23:00Z</cp:lastPrinted>
  <dcterms:created xsi:type="dcterms:W3CDTF">2012-11-13T21:00:00Z</dcterms:created>
  <dcterms:modified xsi:type="dcterms:W3CDTF">2016-07-01T16:24:00Z</dcterms:modified>
</cp:coreProperties>
</file>